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59D" w:rsidRPr="000F259D" w:rsidRDefault="000F259D" w:rsidP="000F259D">
      <w:pPr>
        <w:tabs>
          <w:tab w:val="left" w:pos="567"/>
        </w:tabs>
        <w:rPr>
          <w:rFonts w:cs="Arial"/>
          <w:b/>
          <w:bCs/>
          <w:sz w:val="24"/>
        </w:rPr>
      </w:pPr>
      <w:r w:rsidRPr="000F259D">
        <w:rPr>
          <w:rFonts w:cs="Arial"/>
          <w:b/>
          <w:bCs/>
          <w:sz w:val="24"/>
        </w:rPr>
        <w:t>3GPP TSG RAN WG1 Ad-Hoc Meeting 1901</w:t>
      </w:r>
      <w:r w:rsidRPr="000F259D">
        <w:rPr>
          <w:rFonts w:cs="Arial"/>
          <w:b/>
          <w:bCs/>
          <w:sz w:val="24"/>
        </w:rPr>
        <w:tab/>
      </w:r>
      <w:r w:rsidRPr="000F259D">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0F259D">
        <w:rPr>
          <w:rFonts w:cs="Arial"/>
          <w:b/>
          <w:bCs/>
          <w:sz w:val="24"/>
        </w:rPr>
        <w:t>R1-19</w:t>
      </w:r>
      <w:r w:rsidR="00C45853">
        <w:rPr>
          <w:rFonts w:cs="Arial"/>
          <w:b/>
          <w:bCs/>
          <w:sz w:val="24"/>
        </w:rPr>
        <w:t>00431</w:t>
      </w:r>
    </w:p>
    <w:p w:rsidR="00512838" w:rsidRDefault="000F259D" w:rsidP="000F259D">
      <w:pPr>
        <w:tabs>
          <w:tab w:val="left" w:pos="567"/>
        </w:tabs>
        <w:rPr>
          <w:rFonts w:cs="Arial"/>
          <w:b/>
          <w:bCs/>
          <w:sz w:val="24"/>
        </w:rPr>
      </w:pPr>
      <w:r w:rsidRPr="000F259D">
        <w:rPr>
          <w:rFonts w:cs="Arial"/>
          <w:b/>
          <w:bCs/>
          <w:sz w:val="24"/>
        </w:rPr>
        <w:t>Taipei, Taiwan, 21st – 25th January, 2019</w:t>
      </w:r>
    </w:p>
    <w:p w:rsidR="000F259D" w:rsidRPr="005D2C51" w:rsidRDefault="000F259D" w:rsidP="000F259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1F02DD">
        <w:rPr>
          <w:b/>
          <w:sz w:val="24"/>
          <w:szCs w:val="24"/>
        </w:rPr>
        <w:t>2.3</w:t>
      </w:r>
      <w:r w:rsidR="006B67B9">
        <w:rPr>
          <w:b/>
          <w:sz w:val="24"/>
          <w:szCs w:val="24"/>
        </w:rPr>
        <w:t>.5</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212204">
        <w:rPr>
          <w:sz w:val="24"/>
          <w:szCs w:val="24"/>
        </w:rPr>
        <w:tab/>
      </w:r>
      <w:r w:rsidR="006B67B9" w:rsidRPr="006B67B9">
        <w:rPr>
          <w:b/>
          <w:sz w:val="24"/>
          <w:szCs w:val="24"/>
        </w:rPr>
        <w:t>Mechanisms for supporting IAB node timing alignment</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C45853" w:rsidRDefault="00C45853" w:rsidP="00C45853">
      <w:pPr>
        <w:rPr>
          <w:rFonts w:ascii="Calibri" w:eastAsia="Malgun Gothic" w:hAnsi="Calibri" w:cs="Batang"/>
          <w:lang w:val="en-GB" w:eastAsia="ko-KR"/>
        </w:rPr>
      </w:pPr>
      <w:r w:rsidRPr="004131D6">
        <w:rPr>
          <w:rFonts w:ascii="Calibri" w:eastAsia="Malgun Gothic" w:hAnsi="Calibri" w:cs="Batang"/>
          <w:lang w:val="en-GB" w:eastAsia="ko-KR"/>
        </w:rPr>
        <w:t>As part of the Work Item on Integrated Access and Backhaul for NR [1], 3GPP has agreed to support solutions for efficient operation of integrated access and wireless backhaul for NR including the following requirements:</w:t>
      </w:r>
    </w:p>
    <w:p w:rsidR="00C45853" w:rsidRDefault="00C45853" w:rsidP="00C45853">
      <w:pPr>
        <w:pStyle w:val="ListParagraph"/>
        <w:numPr>
          <w:ilvl w:val="0"/>
          <w:numId w:val="19"/>
        </w:numPr>
        <w:spacing w:beforeLines="60" w:before="144" w:afterLines="60" w:after="144" w:line="256" w:lineRule="auto"/>
        <w:contextualSpacing w:val="0"/>
        <w:jc w:val="left"/>
        <w:rPr>
          <w:rFonts w:asciiTheme="minorHAnsi" w:hAnsiTheme="minorHAnsi"/>
        </w:rPr>
      </w:pPr>
      <w:r>
        <w:t>Specification of mechanism to support the “case-1” OTA timing alignment.</w:t>
      </w:r>
    </w:p>
    <w:p w:rsidR="00C45853" w:rsidRPr="00C724F1" w:rsidRDefault="00C45853" w:rsidP="00C45853">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design considerations for Case 1 IAB node timing alignment.</w:t>
      </w:r>
    </w:p>
    <w:p w:rsidR="00346605" w:rsidRPr="00172743" w:rsidRDefault="00C724F1" w:rsidP="00326FF6">
      <w:pPr>
        <w:pStyle w:val="Heading1"/>
      </w:pPr>
      <w:r>
        <w:t>IAB</w:t>
      </w:r>
      <w:r w:rsidR="00C45853">
        <w:t xml:space="preserve"> node timing alignment</w:t>
      </w:r>
    </w:p>
    <w:p w:rsidR="00512838" w:rsidRDefault="00512838" w:rsidP="00512838">
      <w:pPr>
        <w:spacing w:before="0" w:after="0" w:line="288" w:lineRule="auto"/>
        <w:rPr>
          <w:rFonts w:ascii="Calibri" w:hAnsi="Calibri"/>
          <w:color w:val="000000"/>
          <w:kern w:val="24"/>
        </w:rPr>
      </w:pPr>
      <w:r w:rsidRPr="00F35DD7">
        <w:rPr>
          <w:rFonts w:ascii="Calibri" w:hAnsi="Calibri"/>
          <w:color w:val="000000"/>
          <w:kern w:val="24"/>
        </w:rPr>
        <w:t xml:space="preserve">One of the key requirements of NR when operating in TDD band is the synchronization and symbol level alignment of the DL across all the gNB DUs. For IAB the relay DUs do not have any wired backhaul, therefore they must derive their timing synchronization over the air. </w:t>
      </w:r>
    </w:p>
    <w:p w:rsidR="00512838" w:rsidRDefault="00512838" w:rsidP="00512838">
      <w:pPr>
        <w:spacing w:before="0" w:after="0" w:line="288" w:lineRule="auto"/>
        <w:rPr>
          <w:rFonts w:ascii="Calibri" w:hAnsi="Calibri"/>
          <w:color w:val="000000"/>
          <w:kern w:val="24"/>
        </w:rPr>
      </w:pPr>
    </w:p>
    <w:p w:rsidR="00B57126" w:rsidRDefault="00B57126" w:rsidP="00B57126">
      <w:pPr>
        <w:pStyle w:val="maintext"/>
        <w:ind w:firstLineChars="0" w:firstLine="0"/>
        <w:jc w:val="center"/>
      </w:pPr>
      <w:r>
        <w:rPr>
          <w:noProof/>
          <w:lang w:val="en-US" w:eastAsia="en-US"/>
        </w:rPr>
        <w:drawing>
          <wp:inline distT="0" distB="0" distL="0" distR="0" wp14:anchorId="7E206329" wp14:editId="3B89191A">
            <wp:extent cx="5363570" cy="2424528"/>
            <wp:effectExtent l="0" t="0" r="889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68702" cy="2426848"/>
                    </a:xfrm>
                    <a:prstGeom prst="rect">
                      <a:avLst/>
                    </a:prstGeom>
                    <a:noFill/>
                  </pic:spPr>
                </pic:pic>
              </a:graphicData>
            </a:graphic>
          </wp:inline>
        </w:drawing>
      </w:r>
    </w:p>
    <w:p w:rsidR="00B57126" w:rsidRPr="0033513A" w:rsidRDefault="00B57126" w:rsidP="00B57126">
      <w:pPr>
        <w:pStyle w:val="maintext"/>
        <w:ind w:firstLineChars="0" w:firstLine="0"/>
      </w:pPr>
    </w:p>
    <w:p w:rsidR="00B57126" w:rsidRDefault="00B57126" w:rsidP="00B57126">
      <w:pPr>
        <w:pStyle w:val="Caption"/>
        <w:ind w:left="720"/>
        <w:rPr>
          <w:rFonts w:ascii="Calibri" w:hAnsi="Calibri"/>
        </w:rPr>
      </w:pPr>
      <w:r w:rsidRPr="00077712">
        <w:rPr>
          <w:rFonts w:ascii="Calibri" w:hAnsi="Calibri"/>
        </w:rPr>
        <w:t xml:space="preserve">Figure </w:t>
      </w:r>
      <w:r>
        <w:rPr>
          <w:rFonts w:ascii="Calibri" w:hAnsi="Calibri"/>
        </w:rPr>
        <w:t>1</w:t>
      </w:r>
      <w:r w:rsidRPr="00077712">
        <w:rPr>
          <w:rFonts w:ascii="Calibri" w:hAnsi="Calibri"/>
        </w:rPr>
        <w:t xml:space="preserve">: </w:t>
      </w:r>
      <w:r>
        <w:rPr>
          <w:rFonts w:ascii="Calibri" w:hAnsi="Calibri"/>
        </w:rPr>
        <w:t>IAB frame synchronization over multiple hops</w:t>
      </w:r>
    </w:p>
    <w:p w:rsidR="00B57126" w:rsidRDefault="00B57126" w:rsidP="00B57126">
      <w:pPr>
        <w:spacing w:before="0" w:after="0" w:line="288" w:lineRule="auto"/>
        <w:rPr>
          <w:rFonts w:ascii="Calibri" w:hAnsi="Calibri"/>
          <w:color w:val="000000"/>
          <w:kern w:val="24"/>
        </w:rPr>
      </w:pPr>
      <w:r w:rsidRPr="00F35DD7">
        <w:rPr>
          <w:rFonts w:ascii="Calibri" w:hAnsi="Calibri"/>
          <w:color w:val="000000"/>
          <w:kern w:val="24"/>
        </w:rPr>
        <w:t xml:space="preserve">Figure </w:t>
      </w:r>
      <w:r>
        <w:rPr>
          <w:rFonts w:ascii="Calibri" w:hAnsi="Calibri"/>
          <w:color w:val="000000"/>
          <w:kern w:val="24"/>
        </w:rPr>
        <w:t>1</w:t>
      </w:r>
      <w:r w:rsidRPr="00F35DD7">
        <w:rPr>
          <w:rFonts w:ascii="Calibri" w:hAnsi="Calibri"/>
          <w:color w:val="000000"/>
          <w:kern w:val="24"/>
        </w:rPr>
        <w:t xml:space="preserve"> </w:t>
      </w:r>
      <w:r>
        <w:rPr>
          <w:rFonts w:ascii="Calibri" w:hAnsi="Calibri"/>
          <w:color w:val="000000"/>
          <w:kern w:val="24"/>
        </w:rPr>
        <w:t>gives an example of</w:t>
      </w:r>
      <w:r w:rsidRPr="00F35DD7">
        <w:rPr>
          <w:rFonts w:ascii="Calibri" w:hAnsi="Calibri"/>
          <w:color w:val="000000"/>
          <w:kern w:val="24"/>
        </w:rPr>
        <w:t xml:space="preserve"> a timing relationship between the backhaul subframes</w:t>
      </w:r>
      <w:r>
        <w:rPr>
          <w:rFonts w:ascii="Calibri" w:hAnsi="Calibri"/>
          <w:color w:val="000000"/>
          <w:kern w:val="24"/>
        </w:rPr>
        <w:t xml:space="preserve"> received by the MT of an IAB node</w:t>
      </w:r>
      <w:r w:rsidRPr="00F35DD7">
        <w:rPr>
          <w:rFonts w:ascii="Calibri" w:hAnsi="Calibri"/>
          <w:color w:val="000000"/>
          <w:kern w:val="24"/>
        </w:rPr>
        <w:t>, relative to the access subframe</w:t>
      </w:r>
      <w:r>
        <w:rPr>
          <w:rFonts w:ascii="Calibri" w:hAnsi="Calibri"/>
          <w:color w:val="000000"/>
          <w:kern w:val="24"/>
        </w:rPr>
        <w:t>s</w:t>
      </w:r>
      <w:r w:rsidRPr="00F35DD7">
        <w:rPr>
          <w:rFonts w:ascii="Calibri" w:hAnsi="Calibri"/>
          <w:color w:val="000000"/>
          <w:kern w:val="24"/>
        </w:rPr>
        <w:t xml:space="preserve"> </w:t>
      </w:r>
      <w:r>
        <w:rPr>
          <w:rFonts w:ascii="Calibri" w:hAnsi="Calibri"/>
          <w:color w:val="000000"/>
          <w:kern w:val="24"/>
        </w:rPr>
        <w:t>transmitted by the</w:t>
      </w:r>
      <w:r w:rsidRPr="00F35DD7">
        <w:rPr>
          <w:rFonts w:ascii="Calibri" w:hAnsi="Calibri"/>
          <w:color w:val="000000"/>
          <w:kern w:val="24"/>
        </w:rPr>
        <w:t xml:space="preserve"> DU of a</w:t>
      </w:r>
      <w:r>
        <w:rPr>
          <w:rFonts w:ascii="Calibri" w:hAnsi="Calibri"/>
          <w:color w:val="000000"/>
          <w:kern w:val="24"/>
        </w:rPr>
        <w:t>n</w:t>
      </w:r>
      <w:r w:rsidRPr="00F35DD7">
        <w:rPr>
          <w:rFonts w:ascii="Calibri" w:hAnsi="Calibri"/>
          <w:color w:val="000000"/>
          <w:kern w:val="24"/>
        </w:rPr>
        <w:t xml:space="preserve"> IAB node. </w:t>
      </w:r>
    </w:p>
    <w:p w:rsidR="00B57126" w:rsidRDefault="00B57126" w:rsidP="00B57126">
      <w:pPr>
        <w:spacing w:before="0" w:after="0" w:line="288" w:lineRule="auto"/>
        <w:rPr>
          <w:rFonts w:ascii="Calibri" w:hAnsi="Calibri"/>
          <w:color w:val="000000"/>
          <w:kern w:val="24"/>
        </w:rPr>
      </w:pPr>
    </w:p>
    <w:p w:rsidR="00B57126" w:rsidRDefault="00B57126" w:rsidP="00B57126">
      <w:pPr>
        <w:spacing w:before="0" w:after="0" w:line="288" w:lineRule="auto"/>
        <w:rPr>
          <w:rFonts w:ascii="Calibri" w:hAnsi="Calibri"/>
          <w:color w:val="000000"/>
          <w:kern w:val="24"/>
        </w:rPr>
      </w:pPr>
      <w:r>
        <w:rPr>
          <w:rFonts w:ascii="Calibri" w:hAnsi="Calibri"/>
          <w:color w:val="000000"/>
          <w:kern w:val="24"/>
        </w:rPr>
        <w:t xml:space="preserve">Case 1 timing as defined in the IAB TR 38.874 is </w:t>
      </w:r>
      <w:r w:rsidR="00516006">
        <w:rPr>
          <w:rFonts w:ascii="Calibri" w:hAnsi="Calibri"/>
          <w:color w:val="000000"/>
          <w:kern w:val="24"/>
        </w:rPr>
        <w:t>defined to</w:t>
      </w:r>
      <w:r>
        <w:rPr>
          <w:rFonts w:ascii="Calibri" w:hAnsi="Calibri"/>
          <w:color w:val="000000"/>
          <w:kern w:val="24"/>
        </w:rPr>
        <w:t xml:space="preserve"> be supported </w:t>
      </w:r>
      <w:r w:rsidR="00516006">
        <w:rPr>
          <w:rFonts w:ascii="Calibri" w:hAnsi="Calibri"/>
          <w:color w:val="000000"/>
          <w:kern w:val="24"/>
        </w:rPr>
        <w:t xml:space="preserve">in Rel.16 </w:t>
      </w:r>
      <w:bookmarkStart w:id="2" w:name="_GoBack"/>
      <w:bookmarkEnd w:id="2"/>
      <w:r>
        <w:rPr>
          <w:rFonts w:ascii="Calibri" w:hAnsi="Calibri"/>
          <w:color w:val="000000"/>
          <w:kern w:val="24"/>
        </w:rPr>
        <w:t>in order to ensure</w:t>
      </w:r>
      <w:r w:rsidRPr="00F35DD7">
        <w:rPr>
          <w:rFonts w:ascii="Calibri" w:hAnsi="Calibri"/>
          <w:color w:val="000000"/>
          <w:kern w:val="24"/>
        </w:rPr>
        <w:t xml:space="preserve"> the access subframe DL </w:t>
      </w:r>
      <w:r>
        <w:rPr>
          <w:rFonts w:ascii="Calibri" w:hAnsi="Calibri"/>
          <w:color w:val="000000"/>
          <w:kern w:val="24"/>
        </w:rPr>
        <w:t>are</w:t>
      </w:r>
      <w:r w:rsidRPr="00F35DD7">
        <w:rPr>
          <w:rFonts w:ascii="Calibri" w:hAnsi="Calibri"/>
          <w:color w:val="000000"/>
          <w:kern w:val="24"/>
        </w:rPr>
        <w:t xml:space="preserve"> symbol level and sl</w:t>
      </w:r>
      <w:r>
        <w:rPr>
          <w:rFonts w:ascii="Calibri" w:hAnsi="Calibri"/>
          <w:color w:val="000000"/>
          <w:kern w:val="24"/>
        </w:rPr>
        <w:t>ot level aligned across all DUs [2]:</w:t>
      </w:r>
    </w:p>
    <w:p w:rsidR="00B57126" w:rsidRPr="0091752F" w:rsidRDefault="00B57126" w:rsidP="0091752F">
      <w:pPr>
        <w:pStyle w:val="ListParagraph"/>
        <w:numPr>
          <w:ilvl w:val="0"/>
          <w:numId w:val="19"/>
        </w:numPr>
        <w:spacing w:before="0" w:after="0" w:line="288" w:lineRule="auto"/>
        <w:rPr>
          <w:rFonts w:ascii="Calibri" w:hAnsi="Calibri"/>
          <w:color w:val="000000"/>
          <w:kern w:val="24"/>
        </w:rPr>
      </w:pPr>
      <w:r w:rsidRPr="00F207B8">
        <w:t>Case #1: DL transmission timing alignment across IAB-nodes and IAB-donors</w:t>
      </w:r>
      <w:r w:rsidRPr="0091752F">
        <w:rPr>
          <w:rFonts w:eastAsia="Malgun Gothic" w:hint="eastAsia"/>
          <w:lang w:eastAsia="ko-KR"/>
        </w:rPr>
        <w:t>:</w:t>
      </w:r>
    </w:p>
    <w:p w:rsidR="00B57126" w:rsidRDefault="00B57126" w:rsidP="00B57126">
      <w:pPr>
        <w:spacing w:before="0" w:after="0" w:line="288" w:lineRule="auto"/>
        <w:rPr>
          <w:rFonts w:ascii="Calibri" w:hAnsi="Calibri"/>
          <w:color w:val="000000"/>
          <w:kern w:val="24"/>
        </w:rPr>
      </w:pPr>
      <w:r w:rsidRPr="00F35DD7">
        <w:rPr>
          <w:rFonts w:ascii="Calibri" w:hAnsi="Calibri"/>
          <w:color w:val="000000"/>
          <w:kern w:val="24"/>
        </w:rPr>
        <w:lastRenderedPageBreak/>
        <w:t xml:space="preserve"> </w:t>
      </w:r>
      <w:r>
        <w:rPr>
          <w:rFonts w:ascii="Calibri" w:hAnsi="Calibri"/>
          <w:color w:val="000000"/>
          <w:kern w:val="24"/>
        </w:rPr>
        <w:t>Although the</w:t>
      </w:r>
      <w:r w:rsidRPr="00F35DD7">
        <w:rPr>
          <w:rFonts w:ascii="Calibri" w:hAnsi="Calibri"/>
          <w:color w:val="000000"/>
          <w:kern w:val="24"/>
        </w:rPr>
        <w:t xml:space="preserve"> backhaul subframe as seen </w:t>
      </w:r>
      <w:r>
        <w:rPr>
          <w:rFonts w:ascii="Calibri" w:hAnsi="Calibri"/>
          <w:color w:val="000000"/>
          <w:kern w:val="24"/>
        </w:rPr>
        <w:t xml:space="preserve">by </w:t>
      </w:r>
      <w:r w:rsidRPr="00F35DD7">
        <w:rPr>
          <w:rFonts w:ascii="Calibri" w:hAnsi="Calibri"/>
          <w:color w:val="000000"/>
          <w:kern w:val="24"/>
        </w:rPr>
        <w:t xml:space="preserve">the </w:t>
      </w:r>
      <w:r>
        <w:rPr>
          <w:rFonts w:ascii="Calibri" w:hAnsi="Calibri"/>
          <w:color w:val="000000"/>
          <w:kern w:val="24"/>
        </w:rPr>
        <w:t>MT function</w:t>
      </w:r>
      <w:r w:rsidRPr="00F35DD7">
        <w:rPr>
          <w:rFonts w:ascii="Calibri" w:hAnsi="Calibri"/>
          <w:color w:val="000000"/>
          <w:kern w:val="24"/>
        </w:rPr>
        <w:t xml:space="preserve"> of the IAB node </w:t>
      </w:r>
      <w:r w:rsidR="0091752F">
        <w:rPr>
          <w:rFonts w:ascii="Calibri" w:hAnsi="Calibri"/>
          <w:color w:val="000000"/>
          <w:kern w:val="24"/>
        </w:rPr>
        <w:t>in Figure 1</w:t>
      </w:r>
      <w:r>
        <w:rPr>
          <w:rFonts w:ascii="Calibri" w:hAnsi="Calibri"/>
          <w:color w:val="000000"/>
          <w:kern w:val="24"/>
        </w:rPr>
        <w:t xml:space="preserve"> </w:t>
      </w:r>
      <w:r w:rsidRPr="00F35DD7">
        <w:rPr>
          <w:rFonts w:ascii="Calibri" w:hAnsi="Calibri"/>
          <w:color w:val="000000"/>
          <w:kern w:val="24"/>
        </w:rPr>
        <w:t>has the DL and UL shifted due to the propagation delays</w:t>
      </w:r>
      <w:r>
        <w:rPr>
          <w:rFonts w:ascii="Calibri" w:hAnsi="Calibri"/>
          <w:color w:val="000000"/>
          <w:kern w:val="24"/>
        </w:rPr>
        <w:t>,</w:t>
      </w:r>
      <w:r w:rsidRPr="00F35DD7">
        <w:rPr>
          <w:rFonts w:ascii="Calibri" w:hAnsi="Calibri"/>
          <w:color w:val="000000"/>
          <w:kern w:val="24"/>
        </w:rPr>
        <w:t xml:space="preserve"> the </w:t>
      </w:r>
      <w:r>
        <w:rPr>
          <w:rFonts w:ascii="Calibri" w:hAnsi="Calibri"/>
          <w:color w:val="000000"/>
          <w:kern w:val="24"/>
        </w:rPr>
        <w:t>IAB node MT function</w:t>
      </w:r>
      <w:r w:rsidRPr="00F35DD7">
        <w:rPr>
          <w:rFonts w:ascii="Calibri" w:hAnsi="Calibri"/>
          <w:color w:val="000000"/>
          <w:kern w:val="24"/>
        </w:rPr>
        <w:t xml:space="preserve"> is aware of this shift since the timing advance is provided to the </w:t>
      </w:r>
      <w:r>
        <w:rPr>
          <w:rFonts w:ascii="Calibri" w:hAnsi="Calibri"/>
          <w:color w:val="000000"/>
          <w:kern w:val="24"/>
        </w:rPr>
        <w:t>MT</w:t>
      </w:r>
      <w:r w:rsidRPr="00F35DD7">
        <w:rPr>
          <w:rFonts w:ascii="Calibri" w:hAnsi="Calibri"/>
          <w:color w:val="000000"/>
          <w:kern w:val="24"/>
        </w:rPr>
        <w:t xml:space="preserve"> explicitly, so the timing advance can be used by the IAB node t</w:t>
      </w:r>
      <w:r>
        <w:rPr>
          <w:rFonts w:ascii="Calibri" w:hAnsi="Calibri"/>
          <w:color w:val="000000"/>
          <w:kern w:val="24"/>
        </w:rPr>
        <w:t>o align its DL access subframes transmitted by the DU function by applying a TA/2 shift.</w:t>
      </w:r>
    </w:p>
    <w:p w:rsidR="00B57126" w:rsidRPr="00F35DD7" w:rsidRDefault="00B57126" w:rsidP="00B57126">
      <w:pPr>
        <w:spacing w:before="0" w:after="0" w:line="288" w:lineRule="auto"/>
        <w:rPr>
          <w:rFonts w:ascii="Calibri" w:hAnsi="Calibri"/>
          <w:color w:val="000000"/>
          <w:kern w:val="24"/>
        </w:rPr>
      </w:pPr>
      <w:r w:rsidRPr="00F35DD7">
        <w:rPr>
          <w:rFonts w:ascii="Calibri" w:hAnsi="Calibri"/>
          <w:color w:val="000000"/>
          <w:kern w:val="24"/>
        </w:rPr>
        <w:t xml:space="preserve"> </w:t>
      </w:r>
    </w:p>
    <w:p w:rsidR="00992432" w:rsidRPr="00287D4D" w:rsidRDefault="00B57126" w:rsidP="0091752F">
      <w:pPr>
        <w:rPr>
          <w:rFonts w:ascii="Calibri" w:hAnsi="Calibri"/>
          <w:b/>
          <w:color w:val="000000"/>
          <w:kern w:val="24"/>
        </w:rPr>
      </w:pPr>
      <w:r w:rsidRPr="003141F5">
        <w:rPr>
          <w:rFonts w:ascii="Calibri" w:hAnsi="Calibri"/>
          <w:b/>
          <w:lang w:val="en-GB" w:eastAsia="zh-CN"/>
        </w:rPr>
        <w:t xml:space="preserve">Proposal </w:t>
      </w:r>
      <w:r w:rsidR="0091752F">
        <w:rPr>
          <w:rFonts w:ascii="Calibri" w:hAnsi="Calibri"/>
          <w:b/>
          <w:lang w:val="en-GB" w:eastAsia="zh-CN"/>
        </w:rPr>
        <w:t>1</w:t>
      </w:r>
      <w:r w:rsidRPr="003141F5">
        <w:rPr>
          <w:rFonts w:ascii="Calibri" w:hAnsi="Calibri"/>
          <w:b/>
          <w:lang w:val="en-GB" w:eastAsia="zh-CN"/>
        </w:rPr>
        <w:t xml:space="preserve">: </w:t>
      </w:r>
      <w:r w:rsidR="0091752F">
        <w:rPr>
          <w:rFonts w:ascii="Calibri" w:hAnsi="Calibri"/>
          <w:b/>
          <w:lang w:val="en-GB" w:eastAsia="zh-CN"/>
        </w:rPr>
        <w:t xml:space="preserve">To support </w:t>
      </w:r>
      <w:r w:rsidRPr="003141F5">
        <w:rPr>
          <w:rFonts w:ascii="Calibri" w:hAnsi="Calibri"/>
          <w:b/>
          <w:lang w:val="en-GB" w:eastAsia="zh-CN"/>
        </w:rPr>
        <w:t>Case 1 timing alignment (DL transmission timing alignment acr</w:t>
      </w:r>
      <w:r w:rsidR="0091752F">
        <w:rPr>
          <w:rFonts w:ascii="Calibri" w:hAnsi="Calibri"/>
          <w:b/>
          <w:lang w:val="en-GB" w:eastAsia="zh-CN"/>
        </w:rPr>
        <w:t>oss IAB-nodes and IAB-donors), explicit signalling is provided from the parent to an IAB-node DU</w:t>
      </w:r>
      <w:r w:rsidRPr="003141F5">
        <w:rPr>
          <w:rFonts w:ascii="Calibri" w:hAnsi="Calibri"/>
          <w:b/>
          <w:lang w:val="en-GB" w:eastAsia="zh-CN"/>
        </w:rPr>
        <w:t xml:space="preserve"> </w:t>
      </w:r>
      <w:r w:rsidR="0091752F">
        <w:rPr>
          <w:rFonts w:ascii="Calibri" w:hAnsi="Calibri"/>
          <w:b/>
          <w:lang w:val="en-GB" w:eastAsia="zh-CN"/>
        </w:rPr>
        <w:t>to apply</w:t>
      </w:r>
      <w:r w:rsidRPr="003141F5">
        <w:rPr>
          <w:rFonts w:ascii="Calibri" w:hAnsi="Calibri"/>
          <w:b/>
          <w:lang w:val="en-GB" w:eastAsia="zh-CN"/>
        </w:rPr>
        <w:t xml:space="preserve"> a relative timing </w:t>
      </w:r>
      <w:r w:rsidR="0091752F">
        <w:rPr>
          <w:rFonts w:ascii="Calibri" w:hAnsi="Calibri"/>
          <w:b/>
          <w:lang w:val="en-GB" w:eastAsia="zh-CN"/>
        </w:rPr>
        <w:t xml:space="preserve">offset </w:t>
      </w:r>
      <w:r w:rsidRPr="003141F5">
        <w:rPr>
          <w:rFonts w:ascii="Calibri" w:hAnsi="Calibri"/>
          <w:b/>
          <w:lang w:val="en-GB" w:eastAsia="zh-CN"/>
        </w:rPr>
        <w:t>equal to TA/2 between the DL subframe received by the IAB node MT function on the backhaul link and DL subframe transmitted on the access link by the IAB DU function.</w:t>
      </w:r>
    </w:p>
    <w:p w:rsidR="00175301" w:rsidRPr="0033513A" w:rsidRDefault="00175301" w:rsidP="00FB2665">
      <w:pPr>
        <w:pStyle w:val="maintext"/>
        <w:ind w:firstLineChars="0" w:firstLine="0"/>
      </w:pPr>
    </w:p>
    <w:p w:rsidR="007338D6" w:rsidRPr="00172743" w:rsidRDefault="003A566A" w:rsidP="00326FF6">
      <w:pPr>
        <w:pStyle w:val="Heading1"/>
      </w:pPr>
      <w:r w:rsidRPr="00172743">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91752F">
        <w:rPr>
          <w:rFonts w:ascii="Calibri" w:hAnsi="Calibri"/>
        </w:rPr>
        <w:t>timing alignment for</w:t>
      </w:r>
      <w:r w:rsidR="003A553B">
        <w:rPr>
          <w:rFonts w:ascii="Calibri" w:hAnsi="Calibri"/>
        </w:rPr>
        <w:t xml:space="preserve"> </w:t>
      </w:r>
      <w:r w:rsidR="00C724F1">
        <w:rPr>
          <w:rFonts w:ascii="Calibri" w:hAnsi="Calibri"/>
        </w:rPr>
        <w:t>IAB</w:t>
      </w:r>
      <w:r w:rsidR="0091752F">
        <w:rPr>
          <w:rFonts w:ascii="Calibri" w:hAnsi="Calibri"/>
        </w:rPr>
        <w:t>. The following proposal</w:t>
      </w:r>
      <w:r w:rsidR="00E604D6">
        <w:rPr>
          <w:rFonts w:ascii="Calibri" w:hAnsi="Calibri"/>
        </w:rPr>
        <w:t xml:space="preserve"> w</w:t>
      </w:r>
      <w:r w:rsidR="0091752F">
        <w:rPr>
          <w:rFonts w:ascii="Calibri" w:hAnsi="Calibri"/>
        </w:rPr>
        <w:t>as</w:t>
      </w:r>
      <w:r w:rsidR="00E604D6">
        <w:rPr>
          <w:rFonts w:ascii="Calibri" w:hAnsi="Calibri"/>
        </w:rPr>
        <w:t xml:space="preserve"> made</w:t>
      </w:r>
      <w:r>
        <w:rPr>
          <w:rFonts w:ascii="Calibri" w:hAnsi="Calibri"/>
        </w:rPr>
        <w:t>:</w:t>
      </w:r>
    </w:p>
    <w:p w:rsidR="0091752F" w:rsidRDefault="0091752F" w:rsidP="00172743">
      <w:pPr>
        <w:spacing w:before="0" w:after="0"/>
        <w:rPr>
          <w:rFonts w:ascii="Calibri" w:hAnsi="Calibri"/>
        </w:rPr>
      </w:pPr>
    </w:p>
    <w:p w:rsidR="0091752F" w:rsidRPr="00287D4D" w:rsidRDefault="0091752F" w:rsidP="0091752F">
      <w:pPr>
        <w:rPr>
          <w:rFonts w:ascii="Calibri" w:hAnsi="Calibri"/>
          <w:b/>
          <w:color w:val="000000"/>
          <w:kern w:val="24"/>
        </w:rPr>
      </w:pPr>
      <w:r w:rsidRPr="003141F5">
        <w:rPr>
          <w:rFonts w:ascii="Calibri" w:hAnsi="Calibri"/>
          <w:b/>
          <w:lang w:val="en-GB" w:eastAsia="zh-CN"/>
        </w:rPr>
        <w:t xml:space="preserve">Proposal </w:t>
      </w:r>
      <w:r>
        <w:rPr>
          <w:rFonts w:ascii="Calibri" w:hAnsi="Calibri"/>
          <w:b/>
          <w:lang w:val="en-GB" w:eastAsia="zh-CN"/>
        </w:rPr>
        <w:t>1</w:t>
      </w:r>
      <w:r w:rsidRPr="003141F5">
        <w:rPr>
          <w:rFonts w:ascii="Calibri" w:hAnsi="Calibri"/>
          <w:b/>
          <w:lang w:val="en-GB" w:eastAsia="zh-CN"/>
        </w:rPr>
        <w:t xml:space="preserve">: </w:t>
      </w:r>
      <w:r>
        <w:rPr>
          <w:rFonts w:ascii="Calibri" w:hAnsi="Calibri"/>
          <w:b/>
          <w:lang w:val="en-GB" w:eastAsia="zh-CN"/>
        </w:rPr>
        <w:t xml:space="preserve">To support </w:t>
      </w:r>
      <w:r w:rsidRPr="003141F5">
        <w:rPr>
          <w:rFonts w:ascii="Calibri" w:hAnsi="Calibri"/>
          <w:b/>
          <w:lang w:val="en-GB" w:eastAsia="zh-CN"/>
        </w:rPr>
        <w:t>Case 1 timing alignment (DL transmission timing alignment acr</w:t>
      </w:r>
      <w:r>
        <w:rPr>
          <w:rFonts w:ascii="Calibri" w:hAnsi="Calibri"/>
          <w:b/>
          <w:lang w:val="en-GB" w:eastAsia="zh-CN"/>
        </w:rPr>
        <w:t>oss IAB-nodes and IAB-donors), explicit signalling is provided from the parent to an IAB-node DU</w:t>
      </w:r>
      <w:r w:rsidRPr="003141F5">
        <w:rPr>
          <w:rFonts w:ascii="Calibri" w:hAnsi="Calibri"/>
          <w:b/>
          <w:lang w:val="en-GB" w:eastAsia="zh-CN"/>
        </w:rPr>
        <w:t xml:space="preserve"> </w:t>
      </w:r>
      <w:r>
        <w:rPr>
          <w:rFonts w:ascii="Calibri" w:hAnsi="Calibri"/>
          <w:b/>
          <w:lang w:val="en-GB" w:eastAsia="zh-CN"/>
        </w:rPr>
        <w:t>to apply</w:t>
      </w:r>
      <w:r w:rsidRPr="003141F5">
        <w:rPr>
          <w:rFonts w:ascii="Calibri" w:hAnsi="Calibri"/>
          <w:b/>
          <w:lang w:val="en-GB" w:eastAsia="zh-CN"/>
        </w:rPr>
        <w:t xml:space="preserve"> a relative timing </w:t>
      </w:r>
      <w:r>
        <w:rPr>
          <w:rFonts w:ascii="Calibri" w:hAnsi="Calibri"/>
          <w:b/>
          <w:lang w:val="en-GB" w:eastAsia="zh-CN"/>
        </w:rPr>
        <w:t xml:space="preserve">offset </w:t>
      </w:r>
      <w:r w:rsidRPr="003141F5">
        <w:rPr>
          <w:rFonts w:ascii="Calibri" w:hAnsi="Calibri"/>
          <w:b/>
          <w:lang w:val="en-GB" w:eastAsia="zh-CN"/>
        </w:rPr>
        <w:t>equal to TA/2 between the DL subframe received by the IAB node MT function on the backhaul link and DL subframe transmitted on the access link by the IAB DU function.</w:t>
      </w:r>
    </w:p>
    <w:p w:rsidR="006703A8" w:rsidRDefault="006703A8" w:rsidP="00172743">
      <w:pPr>
        <w:spacing w:before="0" w:after="0"/>
        <w:rPr>
          <w:rFonts w:ascii="Calibri" w:hAnsi="Calibri"/>
        </w:rPr>
      </w:pPr>
    </w:p>
    <w:p w:rsidR="00FE6C15" w:rsidRPr="0076067D" w:rsidRDefault="00FE6C15" w:rsidP="0076067D">
      <w:pPr>
        <w:pStyle w:val="Heading1"/>
      </w:pPr>
      <w:r>
        <w:t>Reference</w:t>
      </w:r>
    </w:p>
    <w:p w:rsidR="00C45853" w:rsidRDefault="00C45853" w:rsidP="00C45853">
      <w:pPr>
        <w:pStyle w:val="2222"/>
        <w:spacing w:after="120" w:line="288" w:lineRule="auto"/>
        <w:ind w:firstLineChars="0" w:firstLine="0"/>
        <w:jc w:val="left"/>
        <w:rPr>
          <w:rFonts w:cs="Times New Roman"/>
          <w:lang w:eastAsia="ko-KR"/>
        </w:rPr>
      </w:pPr>
      <w:r>
        <w:rPr>
          <w:rFonts w:cs="Times New Roman"/>
          <w:lang w:eastAsia="ko-KR"/>
        </w:rPr>
        <w:t xml:space="preserve">[1] RP-182882, </w:t>
      </w:r>
      <w:r w:rsidRPr="004131D6">
        <w:rPr>
          <w:rFonts w:cs="Times New Roman"/>
          <w:lang w:eastAsia="ko-KR"/>
        </w:rPr>
        <w:t>New WID: Integrated Access and Backhaul for NR</w:t>
      </w:r>
      <w:r>
        <w:rPr>
          <w:rFonts w:cs="Times New Roman"/>
          <w:lang w:eastAsia="ko-KR"/>
        </w:rPr>
        <w:t>, Qualcomm</w:t>
      </w:r>
    </w:p>
    <w:p w:rsidR="00D724F9" w:rsidRPr="00D724F9" w:rsidRDefault="00C45853" w:rsidP="00C45853">
      <w:pPr>
        <w:pStyle w:val="2222"/>
        <w:spacing w:after="120" w:line="288" w:lineRule="auto"/>
        <w:ind w:firstLineChars="0" w:firstLine="0"/>
        <w:jc w:val="left"/>
        <w:rPr>
          <w:rFonts w:cs="Times New Roman"/>
          <w:lang w:eastAsia="ko-KR"/>
        </w:rPr>
      </w:pPr>
      <w:r>
        <w:rPr>
          <w:rFonts w:cs="Times New Roman"/>
          <w:lang w:eastAsia="ko-KR"/>
        </w:rPr>
        <w:t xml:space="preserve">[2] TR 38.874 1.0.0, </w:t>
      </w:r>
      <w:r>
        <w:rPr>
          <w:rFonts w:cs="Arial"/>
        </w:rPr>
        <w:t>Study on Integrated Access and Backhaul</w:t>
      </w:r>
    </w:p>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BAD" w:rsidRDefault="00FF2BAD" w:rsidP="00424124">
      <w:pPr>
        <w:spacing w:before="0" w:after="0"/>
      </w:pPr>
      <w:r>
        <w:separator/>
      </w:r>
    </w:p>
  </w:endnote>
  <w:endnote w:type="continuationSeparator" w:id="0">
    <w:p w:rsidR="00FF2BAD" w:rsidRDefault="00FF2BAD"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BAD" w:rsidRDefault="00FF2BAD" w:rsidP="00424124">
      <w:pPr>
        <w:spacing w:before="0" w:after="0"/>
      </w:pPr>
      <w:r>
        <w:separator/>
      </w:r>
    </w:p>
  </w:footnote>
  <w:footnote w:type="continuationSeparator" w:id="0">
    <w:p w:rsidR="00FF2BAD" w:rsidRDefault="00FF2BAD"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B3F8AE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5"/>
  </w:num>
  <w:num w:numId="8">
    <w:abstractNumId w:val="11"/>
  </w:num>
  <w:num w:numId="9">
    <w:abstractNumId w:val="2"/>
  </w:num>
  <w:num w:numId="10">
    <w:abstractNumId w:val="3"/>
  </w:num>
  <w:num w:numId="11">
    <w:abstractNumId w:val="14"/>
  </w:num>
  <w:num w:numId="12">
    <w:abstractNumId w:val="7"/>
  </w:num>
  <w:num w:numId="13">
    <w:abstractNumId w:val="8"/>
  </w:num>
  <w:num w:numId="14">
    <w:abstractNumId w:val="18"/>
  </w:num>
  <w:num w:numId="15">
    <w:abstractNumId w:val="1"/>
  </w:num>
  <w:num w:numId="16">
    <w:abstractNumId w:val="16"/>
  </w:num>
  <w:num w:numId="17">
    <w:abstractNumId w:val="12"/>
  </w:num>
  <w:num w:numId="18">
    <w:abstractNumId w:val="9"/>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40EF"/>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605"/>
    <w:rsid w:val="00097DC6"/>
    <w:rsid w:val="000A36A9"/>
    <w:rsid w:val="000B0720"/>
    <w:rsid w:val="000B58AF"/>
    <w:rsid w:val="000B6D99"/>
    <w:rsid w:val="000C05C0"/>
    <w:rsid w:val="000C21D0"/>
    <w:rsid w:val="000C57B9"/>
    <w:rsid w:val="000D38DC"/>
    <w:rsid w:val="000E29D8"/>
    <w:rsid w:val="000F259D"/>
    <w:rsid w:val="0010303E"/>
    <w:rsid w:val="0011327D"/>
    <w:rsid w:val="00116DA6"/>
    <w:rsid w:val="001279BC"/>
    <w:rsid w:val="00137E15"/>
    <w:rsid w:val="001417A8"/>
    <w:rsid w:val="00153793"/>
    <w:rsid w:val="00172743"/>
    <w:rsid w:val="00175301"/>
    <w:rsid w:val="001A5A68"/>
    <w:rsid w:val="001A6212"/>
    <w:rsid w:val="001A75E0"/>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34A0"/>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727DB"/>
    <w:rsid w:val="00385177"/>
    <w:rsid w:val="00386642"/>
    <w:rsid w:val="00392176"/>
    <w:rsid w:val="003921D6"/>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24124"/>
    <w:rsid w:val="00434212"/>
    <w:rsid w:val="00440F6E"/>
    <w:rsid w:val="00443645"/>
    <w:rsid w:val="00443CD6"/>
    <w:rsid w:val="004552C9"/>
    <w:rsid w:val="004607AC"/>
    <w:rsid w:val="0046127E"/>
    <w:rsid w:val="00466E46"/>
    <w:rsid w:val="004678E1"/>
    <w:rsid w:val="004709B7"/>
    <w:rsid w:val="00473281"/>
    <w:rsid w:val="00473B68"/>
    <w:rsid w:val="00474C1F"/>
    <w:rsid w:val="0048301B"/>
    <w:rsid w:val="004A5ABE"/>
    <w:rsid w:val="004A6424"/>
    <w:rsid w:val="004A69D0"/>
    <w:rsid w:val="004A6A82"/>
    <w:rsid w:val="004B6AA8"/>
    <w:rsid w:val="004B6E00"/>
    <w:rsid w:val="004C130E"/>
    <w:rsid w:val="004C186B"/>
    <w:rsid w:val="004C38DD"/>
    <w:rsid w:val="004C3F2E"/>
    <w:rsid w:val="004C4856"/>
    <w:rsid w:val="004C6DC3"/>
    <w:rsid w:val="004C6ED8"/>
    <w:rsid w:val="004C7784"/>
    <w:rsid w:val="004D453B"/>
    <w:rsid w:val="004D780D"/>
    <w:rsid w:val="004D7CF8"/>
    <w:rsid w:val="004E6BC0"/>
    <w:rsid w:val="004E6D3B"/>
    <w:rsid w:val="005007E9"/>
    <w:rsid w:val="00504C05"/>
    <w:rsid w:val="00504E5F"/>
    <w:rsid w:val="005055A6"/>
    <w:rsid w:val="00507060"/>
    <w:rsid w:val="0051179B"/>
    <w:rsid w:val="00512838"/>
    <w:rsid w:val="0051424F"/>
    <w:rsid w:val="00516006"/>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A18B4"/>
    <w:rsid w:val="005A60B4"/>
    <w:rsid w:val="005B47BD"/>
    <w:rsid w:val="005B69C2"/>
    <w:rsid w:val="005B6FA6"/>
    <w:rsid w:val="005D2C51"/>
    <w:rsid w:val="005F21BF"/>
    <w:rsid w:val="005F613D"/>
    <w:rsid w:val="00600F57"/>
    <w:rsid w:val="00603015"/>
    <w:rsid w:val="0060603E"/>
    <w:rsid w:val="00632789"/>
    <w:rsid w:val="00633934"/>
    <w:rsid w:val="00634707"/>
    <w:rsid w:val="00636F9E"/>
    <w:rsid w:val="006439F2"/>
    <w:rsid w:val="00644034"/>
    <w:rsid w:val="006477B7"/>
    <w:rsid w:val="00652AC8"/>
    <w:rsid w:val="0065437E"/>
    <w:rsid w:val="0066157D"/>
    <w:rsid w:val="006703A8"/>
    <w:rsid w:val="0067125A"/>
    <w:rsid w:val="00671E30"/>
    <w:rsid w:val="006756FB"/>
    <w:rsid w:val="00677BD0"/>
    <w:rsid w:val="00685B82"/>
    <w:rsid w:val="00685E11"/>
    <w:rsid w:val="0069705B"/>
    <w:rsid w:val="006A0EDC"/>
    <w:rsid w:val="006A18DB"/>
    <w:rsid w:val="006A2D2E"/>
    <w:rsid w:val="006B67B9"/>
    <w:rsid w:val="006C0BAC"/>
    <w:rsid w:val="006C452E"/>
    <w:rsid w:val="006C7692"/>
    <w:rsid w:val="006D6ABC"/>
    <w:rsid w:val="006E790B"/>
    <w:rsid w:val="006F055C"/>
    <w:rsid w:val="006F52D9"/>
    <w:rsid w:val="00702C40"/>
    <w:rsid w:val="00707D20"/>
    <w:rsid w:val="00710F58"/>
    <w:rsid w:val="00713175"/>
    <w:rsid w:val="00713382"/>
    <w:rsid w:val="00714B77"/>
    <w:rsid w:val="00714CA5"/>
    <w:rsid w:val="00721AD7"/>
    <w:rsid w:val="007225EF"/>
    <w:rsid w:val="00722BA6"/>
    <w:rsid w:val="00723DC5"/>
    <w:rsid w:val="00726B84"/>
    <w:rsid w:val="00727952"/>
    <w:rsid w:val="007316AF"/>
    <w:rsid w:val="007338D6"/>
    <w:rsid w:val="00740B36"/>
    <w:rsid w:val="00745452"/>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46F"/>
    <w:rsid w:val="007F0AF3"/>
    <w:rsid w:val="007F1928"/>
    <w:rsid w:val="007F392E"/>
    <w:rsid w:val="00802E6C"/>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B39B6"/>
    <w:rsid w:val="008C1AFD"/>
    <w:rsid w:val="008C4B67"/>
    <w:rsid w:val="008D1AEF"/>
    <w:rsid w:val="008E48C2"/>
    <w:rsid w:val="008F0D8C"/>
    <w:rsid w:val="008F2160"/>
    <w:rsid w:val="00901B67"/>
    <w:rsid w:val="00905E86"/>
    <w:rsid w:val="009124E4"/>
    <w:rsid w:val="0091752F"/>
    <w:rsid w:val="00917D0F"/>
    <w:rsid w:val="00924EA9"/>
    <w:rsid w:val="00925FA2"/>
    <w:rsid w:val="00926A9C"/>
    <w:rsid w:val="00927803"/>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21D13"/>
    <w:rsid w:val="00A22671"/>
    <w:rsid w:val="00A22C61"/>
    <w:rsid w:val="00A262E4"/>
    <w:rsid w:val="00A26EC3"/>
    <w:rsid w:val="00A300E0"/>
    <w:rsid w:val="00A359C7"/>
    <w:rsid w:val="00A41CF3"/>
    <w:rsid w:val="00A456B1"/>
    <w:rsid w:val="00A4674D"/>
    <w:rsid w:val="00A547CE"/>
    <w:rsid w:val="00A55FF3"/>
    <w:rsid w:val="00A603CE"/>
    <w:rsid w:val="00A64CF7"/>
    <w:rsid w:val="00A72B33"/>
    <w:rsid w:val="00A821EA"/>
    <w:rsid w:val="00A8721E"/>
    <w:rsid w:val="00A92495"/>
    <w:rsid w:val="00AA5160"/>
    <w:rsid w:val="00AA5899"/>
    <w:rsid w:val="00AB058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2216"/>
    <w:rsid w:val="00B34716"/>
    <w:rsid w:val="00B3707E"/>
    <w:rsid w:val="00B55FA2"/>
    <w:rsid w:val="00B57126"/>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15E1"/>
    <w:rsid w:val="00BD34B4"/>
    <w:rsid w:val="00BE26B4"/>
    <w:rsid w:val="00BF2C5D"/>
    <w:rsid w:val="00BF31E3"/>
    <w:rsid w:val="00BF5F1C"/>
    <w:rsid w:val="00C07731"/>
    <w:rsid w:val="00C17E83"/>
    <w:rsid w:val="00C218A9"/>
    <w:rsid w:val="00C261F4"/>
    <w:rsid w:val="00C40BE6"/>
    <w:rsid w:val="00C45853"/>
    <w:rsid w:val="00C47EE0"/>
    <w:rsid w:val="00C534CA"/>
    <w:rsid w:val="00C63006"/>
    <w:rsid w:val="00C67568"/>
    <w:rsid w:val="00C7007B"/>
    <w:rsid w:val="00C71871"/>
    <w:rsid w:val="00C724F1"/>
    <w:rsid w:val="00C735F1"/>
    <w:rsid w:val="00C913B6"/>
    <w:rsid w:val="00C91C5E"/>
    <w:rsid w:val="00C92E44"/>
    <w:rsid w:val="00CA6EA3"/>
    <w:rsid w:val="00CB15A7"/>
    <w:rsid w:val="00CB6D97"/>
    <w:rsid w:val="00CC09CE"/>
    <w:rsid w:val="00CD7B54"/>
    <w:rsid w:val="00CE0C9D"/>
    <w:rsid w:val="00CE1FF5"/>
    <w:rsid w:val="00D10682"/>
    <w:rsid w:val="00D134C5"/>
    <w:rsid w:val="00D23CDC"/>
    <w:rsid w:val="00D26593"/>
    <w:rsid w:val="00D268EB"/>
    <w:rsid w:val="00D26CFF"/>
    <w:rsid w:val="00D274C6"/>
    <w:rsid w:val="00D37270"/>
    <w:rsid w:val="00D446F1"/>
    <w:rsid w:val="00D456D8"/>
    <w:rsid w:val="00D45A0E"/>
    <w:rsid w:val="00D4645D"/>
    <w:rsid w:val="00D4758C"/>
    <w:rsid w:val="00D50169"/>
    <w:rsid w:val="00D5391C"/>
    <w:rsid w:val="00D55FAB"/>
    <w:rsid w:val="00D56786"/>
    <w:rsid w:val="00D61EAB"/>
    <w:rsid w:val="00D701D3"/>
    <w:rsid w:val="00D724F9"/>
    <w:rsid w:val="00D7445F"/>
    <w:rsid w:val="00D91E8D"/>
    <w:rsid w:val="00D92B1D"/>
    <w:rsid w:val="00DB0323"/>
    <w:rsid w:val="00DB1FA7"/>
    <w:rsid w:val="00DB3BFC"/>
    <w:rsid w:val="00DC0E31"/>
    <w:rsid w:val="00DC4DD7"/>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46D61"/>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7E12"/>
    <w:rsid w:val="00F814DE"/>
    <w:rsid w:val="00F86EE6"/>
    <w:rsid w:val="00F90045"/>
    <w:rsid w:val="00F925FE"/>
    <w:rsid w:val="00F959A1"/>
    <w:rsid w:val="00FA0472"/>
    <w:rsid w:val="00FA28D1"/>
    <w:rsid w:val="00FA6558"/>
    <w:rsid w:val="00FB2665"/>
    <w:rsid w:val="00FC3DE0"/>
    <w:rsid w:val="00FC61FD"/>
    <w:rsid w:val="00FD2C8C"/>
    <w:rsid w:val="00FD489B"/>
    <w:rsid w:val="00FD530D"/>
    <w:rsid w:val="00FD6F1A"/>
    <w:rsid w:val="00FD791D"/>
    <w:rsid w:val="00FE0217"/>
    <w:rsid w:val="00FE6C15"/>
    <w:rsid w:val="00FF02B6"/>
    <w:rsid w:val="00FF1DFC"/>
    <w:rsid w:val="00FF2BAD"/>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CCF5D7"/>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38523208">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42E65-2CAE-43B3-9EE9-66BAB95D8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2823</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4</cp:revision>
  <cp:lastPrinted>2018-09-28T20:14:00Z</cp:lastPrinted>
  <dcterms:created xsi:type="dcterms:W3CDTF">2019-01-11T20:08:00Z</dcterms:created>
  <dcterms:modified xsi:type="dcterms:W3CDTF">2019-01-11T20:23:00Z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